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36"/>
          <w:szCs w:val="36"/>
          <w:lang w:eastAsia="zh-CN"/>
        </w:rPr>
      </w:pPr>
      <w:r>
        <w:rPr>
          <w:rFonts w:hint="eastAsia" w:ascii="黑体" w:eastAsia="黑体"/>
          <w:sz w:val="36"/>
          <w:szCs w:val="36"/>
          <w:lang w:eastAsia="zh-CN"/>
        </w:rPr>
        <w:t>二〇一六年度述职报告</w:t>
      </w:r>
    </w:p>
    <w:p>
      <w:pPr>
        <w:jc w:val="center"/>
        <w:rPr>
          <w:rFonts w:ascii="仿宋_GB2312" w:eastAsia="仿宋_GB2312"/>
          <w:sz w:val="32"/>
          <w:szCs w:val="32"/>
        </w:rPr>
      </w:pPr>
      <w:r>
        <w:rPr>
          <w:rFonts w:hint="eastAsia" w:ascii="仿宋_GB2312" w:eastAsia="仿宋_GB2312"/>
          <w:sz w:val="32"/>
          <w:szCs w:val="32"/>
        </w:rPr>
        <w:t>魏 宁</w:t>
      </w:r>
    </w:p>
    <w:p>
      <w:pPr>
        <w:ind w:firstLine="640" w:firstLineChars="200"/>
        <w:rPr>
          <w:rFonts w:ascii="仿宋_GB2312" w:eastAsia="仿宋_GB2312"/>
          <w:sz w:val="32"/>
          <w:szCs w:val="32"/>
        </w:rPr>
      </w:pPr>
      <w:r>
        <w:rPr>
          <w:rFonts w:hint="eastAsia" w:ascii="仿宋_GB2312" w:eastAsia="仿宋_GB2312"/>
          <w:sz w:val="32"/>
          <w:szCs w:val="32"/>
        </w:rPr>
        <w:t>2016年</w:t>
      </w:r>
      <w:r>
        <w:rPr>
          <w:rFonts w:hint="eastAsia" w:ascii="仿宋_GB2312" w:eastAsia="仿宋_GB2312"/>
          <w:sz w:val="32"/>
          <w:szCs w:val="32"/>
          <w:lang w:eastAsia="zh-CN"/>
        </w:rPr>
        <w:t>我的工作分为两部分，</w:t>
      </w:r>
      <w:r>
        <w:rPr>
          <w:rFonts w:hint="eastAsia" w:ascii="仿宋_GB2312" w:eastAsia="仿宋_GB2312"/>
          <w:sz w:val="32"/>
          <w:szCs w:val="32"/>
          <w:lang w:val="en-US" w:eastAsia="zh-CN"/>
        </w:rPr>
        <w:t>11月之前在</w:t>
      </w:r>
      <w:r>
        <w:rPr>
          <w:rFonts w:hint="eastAsia" w:ascii="仿宋_GB2312" w:eastAsia="仿宋_GB2312"/>
          <w:sz w:val="32"/>
          <w:szCs w:val="32"/>
        </w:rPr>
        <w:t>煤炭产品检测中心</w:t>
      </w:r>
      <w:r>
        <w:rPr>
          <w:rFonts w:hint="eastAsia" w:ascii="仿宋_GB2312" w:eastAsia="仿宋_GB2312"/>
          <w:sz w:val="32"/>
          <w:szCs w:val="32"/>
          <w:lang w:eastAsia="zh-CN"/>
        </w:rPr>
        <w:t>负责煤检中心工作，</w:t>
      </w:r>
      <w:r>
        <w:rPr>
          <w:rFonts w:hint="eastAsia" w:ascii="仿宋_GB2312" w:eastAsia="仿宋_GB2312"/>
          <w:sz w:val="32"/>
          <w:szCs w:val="32"/>
          <w:lang w:val="en-US" w:eastAsia="zh-CN"/>
        </w:rPr>
        <w:t>11月之后调至培训中心任主任。同时，作为检测支部书记，按照省局和所党委的安排部署做好本支部的各项学习研讨组织实施。</w:t>
      </w:r>
    </w:p>
    <w:p>
      <w:pPr>
        <w:pStyle w:val="12"/>
        <w:numPr>
          <w:ilvl w:val="0"/>
          <w:numId w:val="1"/>
        </w:numPr>
        <w:ind w:firstLineChars="0"/>
        <w:rPr>
          <w:rFonts w:ascii="仿宋_GB2312" w:eastAsia="仿宋_GB2312"/>
          <w:b/>
          <w:sz w:val="32"/>
          <w:szCs w:val="32"/>
        </w:rPr>
      </w:pPr>
      <w:r>
        <w:rPr>
          <w:rFonts w:hint="eastAsia" w:ascii="仿宋_GB2312" w:eastAsia="仿宋_GB2312"/>
          <w:b/>
          <w:sz w:val="32"/>
          <w:szCs w:val="32"/>
          <w:lang w:eastAsia="zh-CN"/>
        </w:rPr>
        <w:t>煤检中心工作情况</w:t>
      </w:r>
    </w:p>
    <w:p>
      <w:pPr>
        <w:ind w:firstLine="420"/>
        <w:rPr>
          <w:rFonts w:ascii="仿宋_GB2312" w:eastAsia="仿宋_GB2312"/>
          <w:sz w:val="32"/>
          <w:szCs w:val="32"/>
        </w:rPr>
      </w:pPr>
      <w:r>
        <w:rPr>
          <w:rFonts w:hint="eastAsia" w:ascii="仿宋_GB2312" w:eastAsia="仿宋_GB2312"/>
          <w:sz w:val="32"/>
          <w:szCs w:val="32"/>
        </w:rPr>
        <w:t>从2015年12月21日至2016年9月20日，</w:t>
      </w:r>
      <w:r>
        <w:rPr>
          <w:rFonts w:hint="eastAsia" w:ascii="仿宋_GB2312" w:eastAsia="仿宋_GB2312"/>
          <w:sz w:val="32"/>
          <w:szCs w:val="32"/>
          <w:lang w:eastAsia="zh-CN"/>
        </w:rPr>
        <w:t>煤检</w:t>
      </w:r>
      <w:r>
        <w:rPr>
          <w:rFonts w:hint="eastAsia" w:ascii="仿宋_GB2312" w:eastAsia="仿宋_GB2312"/>
          <w:sz w:val="32"/>
          <w:szCs w:val="32"/>
        </w:rPr>
        <w:t>中心共完成检验样品</w:t>
      </w:r>
      <w:r>
        <w:rPr>
          <w:rFonts w:hint="eastAsia" w:ascii="仿宋_GB2312" w:eastAsia="仿宋_GB2312"/>
          <w:b/>
          <w:sz w:val="32"/>
          <w:szCs w:val="32"/>
        </w:rPr>
        <w:t>14084</w:t>
      </w:r>
      <w:r>
        <w:rPr>
          <w:rFonts w:hint="eastAsia" w:ascii="仿宋_GB2312" w:eastAsia="仿宋_GB2312"/>
          <w:sz w:val="32"/>
          <w:szCs w:val="32"/>
        </w:rPr>
        <w:t>个，是2015年的2.89倍；共计参数</w:t>
      </w:r>
      <w:r>
        <w:rPr>
          <w:rFonts w:hint="eastAsia" w:ascii="仿宋_GB2312" w:eastAsia="仿宋_GB2312"/>
          <w:b/>
          <w:sz w:val="32"/>
          <w:szCs w:val="32"/>
        </w:rPr>
        <w:t>46502</w:t>
      </w:r>
      <w:r>
        <w:rPr>
          <w:rFonts w:hint="eastAsia" w:ascii="仿宋_GB2312" w:eastAsia="仿宋_GB2312"/>
          <w:sz w:val="32"/>
          <w:szCs w:val="32"/>
        </w:rPr>
        <w:t>项（煤灰成分按1个项目统计，其实每个项目是10个参数，形态硫按1个项目统计，其实每个项目是3个参数），是去年的2.5倍。每个月检验量与去年同期相比检验量剧增，尤其是7月份，是去年同期的近9倍，具体数据见表1。</w:t>
      </w:r>
    </w:p>
    <w:p>
      <w:pPr>
        <w:jc w:val="center"/>
        <w:rPr>
          <w:rFonts w:ascii="仿宋_GB2312" w:eastAsia="仿宋_GB2312"/>
          <w:sz w:val="32"/>
          <w:szCs w:val="32"/>
        </w:rPr>
      </w:pPr>
      <w:r>
        <w:rPr>
          <w:rFonts w:hint="eastAsia" w:ascii="仿宋_GB2312" w:eastAsia="仿宋_GB2312"/>
          <w:sz w:val="32"/>
          <w:szCs w:val="32"/>
        </w:rPr>
        <w:t>表1 同期检验样品数据比对表</w:t>
      </w:r>
    </w:p>
    <w:tbl>
      <w:tblPr>
        <w:tblStyle w:val="9"/>
        <w:tblW w:w="918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36"/>
        <w:gridCol w:w="727"/>
        <w:gridCol w:w="727"/>
        <w:gridCol w:w="727"/>
        <w:gridCol w:w="727"/>
        <w:gridCol w:w="727"/>
        <w:gridCol w:w="727"/>
        <w:gridCol w:w="727"/>
        <w:gridCol w:w="727"/>
        <w:gridCol w:w="727"/>
        <w:gridCol w:w="823"/>
        <w:gridCol w:w="87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rPr>
          <w:trHeight w:val="392" w:hRule="atLeast"/>
        </w:trPr>
        <w:tc>
          <w:tcPr>
            <w:tcW w:w="936"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月份</w:t>
            </w:r>
          </w:p>
        </w:tc>
        <w:tc>
          <w:tcPr>
            <w:tcW w:w="727"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1月</w:t>
            </w:r>
          </w:p>
        </w:tc>
        <w:tc>
          <w:tcPr>
            <w:tcW w:w="727"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2月</w:t>
            </w:r>
          </w:p>
        </w:tc>
        <w:tc>
          <w:tcPr>
            <w:tcW w:w="727"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3月</w:t>
            </w:r>
          </w:p>
        </w:tc>
        <w:tc>
          <w:tcPr>
            <w:tcW w:w="727" w:type="dxa"/>
            <w:tcBorders>
              <w:right w:val="single" w:color="auto" w:sz="4" w:space="0"/>
            </w:tcBorders>
            <w:vAlign w:val="center"/>
          </w:tcPr>
          <w:p>
            <w:pPr>
              <w:spacing w:line="300" w:lineRule="exact"/>
              <w:jc w:val="center"/>
              <w:rPr>
                <w:rFonts w:ascii="仿宋_GB2312" w:eastAsia="仿宋_GB2312"/>
                <w:sz w:val="24"/>
                <w:szCs w:val="24"/>
              </w:rPr>
            </w:pPr>
            <w:r>
              <w:rPr>
                <w:rFonts w:hint="eastAsia" w:ascii="仿宋_GB2312" w:eastAsia="仿宋_GB2312"/>
                <w:sz w:val="24"/>
                <w:szCs w:val="24"/>
              </w:rPr>
              <w:t>4月</w:t>
            </w:r>
          </w:p>
        </w:tc>
        <w:tc>
          <w:tcPr>
            <w:tcW w:w="727" w:type="dxa"/>
            <w:tcBorders>
              <w:left w:val="single" w:color="auto" w:sz="4" w:space="0"/>
              <w:right w:val="single" w:color="auto" w:sz="4" w:space="0"/>
            </w:tcBorders>
            <w:vAlign w:val="center"/>
          </w:tcPr>
          <w:p>
            <w:pPr>
              <w:spacing w:line="300" w:lineRule="exact"/>
              <w:jc w:val="center"/>
              <w:rPr>
                <w:rFonts w:ascii="仿宋_GB2312" w:eastAsia="仿宋_GB2312"/>
                <w:sz w:val="24"/>
                <w:szCs w:val="24"/>
              </w:rPr>
            </w:pPr>
            <w:r>
              <w:rPr>
                <w:rFonts w:hint="eastAsia" w:ascii="仿宋_GB2312" w:eastAsia="仿宋_GB2312"/>
                <w:sz w:val="24"/>
                <w:szCs w:val="24"/>
              </w:rPr>
              <w:t>5月</w:t>
            </w:r>
          </w:p>
        </w:tc>
        <w:tc>
          <w:tcPr>
            <w:tcW w:w="727" w:type="dxa"/>
            <w:tcBorders>
              <w:left w:val="single" w:color="auto" w:sz="4" w:space="0"/>
              <w:right w:val="single" w:color="auto" w:sz="4" w:space="0"/>
            </w:tcBorders>
            <w:vAlign w:val="center"/>
          </w:tcPr>
          <w:p>
            <w:pPr>
              <w:spacing w:line="300" w:lineRule="exact"/>
              <w:jc w:val="center"/>
              <w:rPr>
                <w:rFonts w:hint="eastAsia" w:ascii="仿宋_GB2312" w:eastAsia="仿宋_GB2312"/>
                <w:sz w:val="24"/>
                <w:szCs w:val="24"/>
              </w:rPr>
            </w:pPr>
            <w:r>
              <w:rPr>
                <w:rFonts w:hint="eastAsia" w:ascii="仿宋_GB2312" w:eastAsia="仿宋_GB2312"/>
                <w:sz w:val="24"/>
                <w:szCs w:val="24"/>
              </w:rPr>
              <w:t>6月</w:t>
            </w:r>
          </w:p>
        </w:tc>
        <w:tc>
          <w:tcPr>
            <w:tcW w:w="727" w:type="dxa"/>
            <w:tcBorders>
              <w:left w:val="single" w:color="auto" w:sz="4" w:space="0"/>
              <w:right w:val="single" w:color="auto" w:sz="4" w:space="0"/>
            </w:tcBorders>
            <w:vAlign w:val="center"/>
          </w:tcPr>
          <w:p>
            <w:pPr>
              <w:spacing w:line="300" w:lineRule="exact"/>
              <w:jc w:val="center"/>
              <w:rPr>
                <w:rFonts w:hint="eastAsia" w:ascii="仿宋_GB2312" w:eastAsia="仿宋_GB2312"/>
                <w:sz w:val="24"/>
                <w:szCs w:val="24"/>
              </w:rPr>
            </w:pPr>
            <w:r>
              <w:rPr>
                <w:rFonts w:hint="eastAsia" w:ascii="仿宋_GB2312" w:eastAsia="仿宋_GB2312"/>
                <w:sz w:val="24"/>
                <w:szCs w:val="24"/>
              </w:rPr>
              <w:t>7月</w:t>
            </w:r>
          </w:p>
        </w:tc>
        <w:tc>
          <w:tcPr>
            <w:tcW w:w="727" w:type="dxa"/>
            <w:tcBorders>
              <w:left w:val="single" w:color="auto" w:sz="4" w:space="0"/>
              <w:right w:val="single" w:color="auto" w:sz="4" w:space="0"/>
            </w:tcBorders>
            <w:vAlign w:val="center"/>
          </w:tcPr>
          <w:p>
            <w:pPr>
              <w:spacing w:line="300" w:lineRule="exact"/>
              <w:jc w:val="center"/>
              <w:rPr>
                <w:rFonts w:hint="eastAsia" w:ascii="仿宋_GB2312" w:eastAsia="仿宋_GB2312"/>
                <w:sz w:val="24"/>
                <w:szCs w:val="24"/>
              </w:rPr>
            </w:pPr>
            <w:r>
              <w:rPr>
                <w:rFonts w:hint="eastAsia" w:ascii="仿宋_GB2312" w:eastAsia="仿宋_GB2312"/>
                <w:sz w:val="24"/>
                <w:szCs w:val="24"/>
              </w:rPr>
              <w:t>8月</w:t>
            </w:r>
          </w:p>
        </w:tc>
        <w:tc>
          <w:tcPr>
            <w:tcW w:w="727" w:type="dxa"/>
            <w:tcBorders>
              <w:left w:val="single" w:color="auto" w:sz="4" w:space="0"/>
              <w:right w:val="single" w:color="auto" w:sz="4" w:space="0"/>
            </w:tcBorders>
            <w:vAlign w:val="center"/>
          </w:tcPr>
          <w:p>
            <w:pPr>
              <w:spacing w:line="300" w:lineRule="exact"/>
              <w:jc w:val="center"/>
              <w:rPr>
                <w:rFonts w:hint="eastAsia" w:ascii="仿宋_GB2312" w:eastAsia="仿宋_GB2312"/>
                <w:sz w:val="24"/>
                <w:szCs w:val="24"/>
              </w:rPr>
            </w:pPr>
            <w:r>
              <w:rPr>
                <w:rFonts w:hint="eastAsia" w:ascii="仿宋_GB2312" w:eastAsia="仿宋_GB2312"/>
                <w:sz w:val="24"/>
                <w:szCs w:val="24"/>
              </w:rPr>
              <w:t>9月</w:t>
            </w:r>
          </w:p>
        </w:tc>
        <w:tc>
          <w:tcPr>
            <w:tcW w:w="823" w:type="dxa"/>
            <w:tcBorders>
              <w:left w:val="single" w:color="auto" w:sz="4" w:space="0"/>
              <w:right w:val="single" w:color="auto" w:sz="4" w:space="0"/>
            </w:tcBorders>
            <w:vAlign w:val="center"/>
          </w:tcPr>
          <w:p>
            <w:pPr>
              <w:spacing w:line="300" w:lineRule="exact"/>
              <w:jc w:val="center"/>
              <w:rPr>
                <w:rFonts w:ascii="仿宋_GB2312" w:eastAsia="仿宋_GB2312"/>
                <w:sz w:val="24"/>
                <w:szCs w:val="24"/>
              </w:rPr>
            </w:pPr>
            <w:r>
              <w:rPr>
                <w:rFonts w:hint="eastAsia" w:ascii="仿宋_GB2312" w:eastAsia="仿宋_GB2312"/>
                <w:sz w:val="24"/>
                <w:szCs w:val="24"/>
              </w:rPr>
              <w:t>总个数</w:t>
            </w:r>
          </w:p>
        </w:tc>
        <w:tc>
          <w:tcPr>
            <w:tcW w:w="878" w:type="dxa"/>
            <w:tcBorders>
              <w:left w:val="single" w:color="auto" w:sz="4" w:space="0"/>
            </w:tcBorders>
            <w:vAlign w:val="center"/>
          </w:tcPr>
          <w:p>
            <w:pPr>
              <w:spacing w:line="300" w:lineRule="exact"/>
              <w:jc w:val="center"/>
              <w:rPr>
                <w:rFonts w:ascii="仿宋_GB2312" w:eastAsia="仿宋_GB2312"/>
                <w:sz w:val="24"/>
                <w:szCs w:val="24"/>
              </w:rPr>
            </w:pPr>
            <w:r>
              <w:rPr>
                <w:rFonts w:hint="eastAsia" w:ascii="仿宋_GB2312" w:eastAsia="仿宋_GB2312"/>
                <w:sz w:val="24"/>
                <w:szCs w:val="24"/>
              </w:rPr>
              <w:t>总项数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13" w:hRule="atLeast"/>
        </w:trPr>
        <w:tc>
          <w:tcPr>
            <w:tcW w:w="936"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2015年检验样品数（个）</w:t>
            </w:r>
          </w:p>
        </w:tc>
        <w:tc>
          <w:tcPr>
            <w:tcW w:w="727"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599</w:t>
            </w:r>
          </w:p>
        </w:tc>
        <w:tc>
          <w:tcPr>
            <w:tcW w:w="727"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887</w:t>
            </w:r>
          </w:p>
        </w:tc>
        <w:tc>
          <w:tcPr>
            <w:tcW w:w="727"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222</w:t>
            </w:r>
          </w:p>
        </w:tc>
        <w:tc>
          <w:tcPr>
            <w:tcW w:w="727" w:type="dxa"/>
            <w:tcBorders>
              <w:right w:val="single" w:color="auto" w:sz="4" w:space="0"/>
            </w:tcBorders>
            <w:vAlign w:val="center"/>
          </w:tcPr>
          <w:p>
            <w:pPr>
              <w:spacing w:line="300" w:lineRule="exact"/>
              <w:jc w:val="center"/>
              <w:rPr>
                <w:rFonts w:ascii="仿宋_GB2312" w:eastAsia="仿宋_GB2312"/>
                <w:sz w:val="24"/>
                <w:szCs w:val="24"/>
              </w:rPr>
            </w:pPr>
            <w:r>
              <w:rPr>
                <w:rFonts w:hint="eastAsia" w:ascii="仿宋_GB2312" w:eastAsia="仿宋_GB2312"/>
                <w:sz w:val="24"/>
                <w:szCs w:val="24"/>
              </w:rPr>
              <w:t>722</w:t>
            </w:r>
          </w:p>
        </w:tc>
        <w:tc>
          <w:tcPr>
            <w:tcW w:w="727" w:type="dxa"/>
            <w:tcBorders>
              <w:left w:val="single" w:color="auto" w:sz="4" w:space="0"/>
              <w:right w:val="single" w:color="auto" w:sz="4" w:space="0"/>
            </w:tcBorders>
            <w:vAlign w:val="center"/>
          </w:tcPr>
          <w:p>
            <w:pPr>
              <w:spacing w:line="300" w:lineRule="exact"/>
              <w:jc w:val="center"/>
              <w:rPr>
                <w:rFonts w:ascii="仿宋_GB2312" w:eastAsia="仿宋_GB2312"/>
                <w:sz w:val="24"/>
                <w:szCs w:val="24"/>
              </w:rPr>
            </w:pPr>
            <w:r>
              <w:rPr>
                <w:rFonts w:hint="eastAsia" w:ascii="仿宋_GB2312" w:eastAsia="仿宋_GB2312"/>
                <w:sz w:val="24"/>
                <w:szCs w:val="24"/>
              </w:rPr>
              <w:t>775</w:t>
            </w:r>
          </w:p>
        </w:tc>
        <w:tc>
          <w:tcPr>
            <w:tcW w:w="727" w:type="dxa"/>
            <w:tcBorders>
              <w:left w:val="single" w:color="auto" w:sz="4" w:space="0"/>
              <w:right w:val="single" w:color="auto" w:sz="4" w:space="0"/>
            </w:tcBorders>
            <w:vAlign w:val="center"/>
          </w:tcPr>
          <w:p>
            <w:pPr>
              <w:spacing w:line="300" w:lineRule="exact"/>
              <w:jc w:val="center"/>
              <w:rPr>
                <w:rFonts w:hint="eastAsia" w:ascii="仿宋_GB2312" w:eastAsia="仿宋_GB2312"/>
                <w:sz w:val="24"/>
                <w:szCs w:val="24"/>
              </w:rPr>
            </w:pPr>
            <w:r>
              <w:rPr>
                <w:rFonts w:hint="eastAsia" w:ascii="仿宋_GB2312" w:eastAsia="仿宋_GB2312"/>
                <w:sz w:val="24"/>
                <w:szCs w:val="24"/>
              </w:rPr>
              <w:t>608</w:t>
            </w:r>
          </w:p>
        </w:tc>
        <w:tc>
          <w:tcPr>
            <w:tcW w:w="727" w:type="dxa"/>
            <w:tcBorders>
              <w:left w:val="single" w:color="auto" w:sz="4" w:space="0"/>
              <w:right w:val="single" w:color="auto" w:sz="4" w:space="0"/>
            </w:tcBorders>
            <w:vAlign w:val="center"/>
          </w:tcPr>
          <w:p>
            <w:pPr>
              <w:spacing w:line="300" w:lineRule="exact"/>
              <w:jc w:val="center"/>
              <w:rPr>
                <w:rFonts w:hint="eastAsia" w:ascii="仿宋_GB2312" w:eastAsia="仿宋_GB2312"/>
                <w:sz w:val="24"/>
                <w:szCs w:val="24"/>
              </w:rPr>
            </w:pPr>
            <w:r>
              <w:rPr>
                <w:rFonts w:hint="eastAsia" w:ascii="仿宋_GB2312" w:eastAsia="仿宋_GB2312"/>
                <w:sz w:val="24"/>
                <w:szCs w:val="24"/>
              </w:rPr>
              <w:t>223</w:t>
            </w:r>
          </w:p>
        </w:tc>
        <w:tc>
          <w:tcPr>
            <w:tcW w:w="727" w:type="dxa"/>
            <w:tcBorders>
              <w:left w:val="single" w:color="auto" w:sz="4" w:space="0"/>
              <w:right w:val="single" w:color="auto" w:sz="4" w:space="0"/>
            </w:tcBorders>
            <w:vAlign w:val="center"/>
          </w:tcPr>
          <w:p>
            <w:pPr>
              <w:spacing w:line="300" w:lineRule="exact"/>
              <w:jc w:val="center"/>
              <w:rPr>
                <w:rFonts w:hint="eastAsia" w:ascii="仿宋_GB2312" w:eastAsia="仿宋_GB2312"/>
                <w:sz w:val="24"/>
                <w:szCs w:val="24"/>
              </w:rPr>
            </w:pPr>
            <w:r>
              <w:rPr>
                <w:rFonts w:hint="eastAsia" w:ascii="仿宋_GB2312" w:eastAsia="仿宋_GB2312"/>
                <w:sz w:val="24"/>
                <w:szCs w:val="24"/>
              </w:rPr>
              <w:t>386</w:t>
            </w:r>
          </w:p>
        </w:tc>
        <w:tc>
          <w:tcPr>
            <w:tcW w:w="727" w:type="dxa"/>
            <w:tcBorders>
              <w:left w:val="single" w:color="auto" w:sz="4" w:space="0"/>
              <w:right w:val="single" w:color="auto" w:sz="4" w:space="0"/>
            </w:tcBorders>
            <w:vAlign w:val="center"/>
          </w:tcPr>
          <w:p>
            <w:pPr>
              <w:spacing w:line="300" w:lineRule="exact"/>
              <w:jc w:val="center"/>
              <w:rPr>
                <w:rFonts w:hint="eastAsia" w:ascii="仿宋_GB2312" w:eastAsia="仿宋_GB2312"/>
                <w:sz w:val="24"/>
                <w:szCs w:val="24"/>
              </w:rPr>
            </w:pPr>
            <w:r>
              <w:rPr>
                <w:rFonts w:hint="eastAsia" w:ascii="仿宋_GB2312" w:eastAsia="仿宋_GB2312"/>
                <w:sz w:val="24"/>
                <w:szCs w:val="24"/>
              </w:rPr>
              <w:t>445</w:t>
            </w:r>
          </w:p>
        </w:tc>
        <w:tc>
          <w:tcPr>
            <w:tcW w:w="823" w:type="dxa"/>
            <w:tcBorders>
              <w:left w:val="single" w:color="auto" w:sz="4" w:space="0"/>
              <w:right w:val="single" w:color="auto" w:sz="4" w:space="0"/>
            </w:tcBorders>
            <w:vAlign w:val="center"/>
          </w:tcPr>
          <w:p>
            <w:pPr>
              <w:spacing w:line="300" w:lineRule="exact"/>
              <w:jc w:val="center"/>
              <w:rPr>
                <w:rFonts w:ascii="仿宋_GB2312" w:eastAsia="仿宋_GB2312"/>
                <w:b/>
                <w:i/>
                <w:sz w:val="24"/>
                <w:szCs w:val="24"/>
              </w:rPr>
            </w:pPr>
            <w:r>
              <w:rPr>
                <w:rFonts w:hint="eastAsia" w:ascii="仿宋_GB2312" w:eastAsia="仿宋_GB2312"/>
                <w:b/>
                <w:i/>
                <w:sz w:val="24"/>
                <w:szCs w:val="24"/>
              </w:rPr>
              <w:t>4867</w:t>
            </w:r>
          </w:p>
        </w:tc>
        <w:tc>
          <w:tcPr>
            <w:tcW w:w="878" w:type="dxa"/>
            <w:tcBorders>
              <w:left w:val="single" w:color="auto" w:sz="4" w:space="0"/>
            </w:tcBorders>
            <w:vAlign w:val="center"/>
          </w:tcPr>
          <w:p>
            <w:pPr>
              <w:spacing w:line="300" w:lineRule="exact"/>
              <w:jc w:val="center"/>
              <w:rPr>
                <w:rFonts w:ascii="仿宋_GB2312" w:eastAsia="仿宋_GB2312"/>
                <w:b/>
                <w:i/>
                <w:sz w:val="24"/>
                <w:szCs w:val="24"/>
              </w:rPr>
            </w:pPr>
            <w:r>
              <w:rPr>
                <w:rFonts w:hint="eastAsia" w:ascii="仿宋_GB2312" w:eastAsia="仿宋_GB2312"/>
                <w:b/>
                <w:i/>
                <w:sz w:val="24"/>
                <w:szCs w:val="24"/>
              </w:rPr>
              <w:t>18662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19" w:hRule="atLeast"/>
        </w:trPr>
        <w:tc>
          <w:tcPr>
            <w:tcW w:w="936"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2016年检验样品数</w:t>
            </w:r>
          </w:p>
          <w:p>
            <w:pPr>
              <w:spacing w:line="300" w:lineRule="exact"/>
              <w:jc w:val="center"/>
              <w:rPr>
                <w:rFonts w:ascii="仿宋_GB2312" w:eastAsia="仿宋_GB2312"/>
                <w:sz w:val="24"/>
                <w:szCs w:val="24"/>
              </w:rPr>
            </w:pPr>
            <w:r>
              <w:rPr>
                <w:rFonts w:hint="eastAsia" w:ascii="仿宋_GB2312" w:eastAsia="仿宋_GB2312"/>
                <w:sz w:val="24"/>
                <w:szCs w:val="24"/>
              </w:rPr>
              <w:t>（个）</w:t>
            </w:r>
          </w:p>
        </w:tc>
        <w:tc>
          <w:tcPr>
            <w:tcW w:w="727"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1369</w:t>
            </w:r>
          </w:p>
        </w:tc>
        <w:tc>
          <w:tcPr>
            <w:tcW w:w="727"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1213</w:t>
            </w:r>
          </w:p>
        </w:tc>
        <w:tc>
          <w:tcPr>
            <w:tcW w:w="727"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564</w:t>
            </w:r>
          </w:p>
        </w:tc>
        <w:tc>
          <w:tcPr>
            <w:tcW w:w="727" w:type="dxa"/>
            <w:tcBorders>
              <w:right w:val="single" w:color="auto" w:sz="4" w:space="0"/>
            </w:tcBorders>
            <w:vAlign w:val="center"/>
          </w:tcPr>
          <w:p>
            <w:pPr>
              <w:spacing w:line="300" w:lineRule="exact"/>
              <w:jc w:val="center"/>
              <w:rPr>
                <w:rFonts w:ascii="仿宋_GB2312" w:eastAsia="仿宋_GB2312"/>
                <w:sz w:val="24"/>
                <w:szCs w:val="24"/>
              </w:rPr>
            </w:pPr>
            <w:r>
              <w:rPr>
                <w:rFonts w:hint="eastAsia" w:ascii="仿宋_GB2312" w:eastAsia="仿宋_GB2312"/>
                <w:sz w:val="24"/>
                <w:szCs w:val="24"/>
              </w:rPr>
              <w:t>1590</w:t>
            </w:r>
          </w:p>
        </w:tc>
        <w:tc>
          <w:tcPr>
            <w:tcW w:w="727" w:type="dxa"/>
            <w:tcBorders>
              <w:left w:val="single" w:color="auto" w:sz="4" w:space="0"/>
              <w:right w:val="single" w:color="auto" w:sz="4" w:space="0"/>
            </w:tcBorders>
            <w:vAlign w:val="center"/>
          </w:tcPr>
          <w:p>
            <w:pPr>
              <w:spacing w:line="300" w:lineRule="exact"/>
              <w:jc w:val="center"/>
              <w:rPr>
                <w:rFonts w:ascii="仿宋_GB2312" w:eastAsia="仿宋_GB2312"/>
                <w:sz w:val="24"/>
                <w:szCs w:val="24"/>
              </w:rPr>
            </w:pPr>
            <w:r>
              <w:rPr>
                <w:rFonts w:hint="eastAsia" w:ascii="仿宋_GB2312" w:eastAsia="仿宋_GB2312"/>
                <w:sz w:val="24"/>
                <w:szCs w:val="24"/>
              </w:rPr>
              <w:t>2047</w:t>
            </w:r>
          </w:p>
        </w:tc>
        <w:tc>
          <w:tcPr>
            <w:tcW w:w="727" w:type="dxa"/>
            <w:tcBorders>
              <w:left w:val="single" w:color="auto" w:sz="4" w:space="0"/>
              <w:right w:val="single" w:color="auto" w:sz="4" w:space="0"/>
            </w:tcBorders>
            <w:vAlign w:val="center"/>
          </w:tcPr>
          <w:p>
            <w:pPr>
              <w:spacing w:line="300" w:lineRule="exact"/>
              <w:jc w:val="center"/>
              <w:rPr>
                <w:rFonts w:hint="eastAsia" w:ascii="仿宋_GB2312" w:eastAsia="仿宋_GB2312"/>
                <w:sz w:val="24"/>
                <w:szCs w:val="24"/>
              </w:rPr>
            </w:pPr>
            <w:r>
              <w:rPr>
                <w:rFonts w:hint="eastAsia" w:ascii="仿宋_GB2312" w:eastAsia="仿宋_GB2312"/>
                <w:sz w:val="24"/>
                <w:szCs w:val="24"/>
              </w:rPr>
              <w:t>2694</w:t>
            </w:r>
          </w:p>
        </w:tc>
        <w:tc>
          <w:tcPr>
            <w:tcW w:w="727" w:type="dxa"/>
            <w:tcBorders>
              <w:left w:val="single" w:color="auto" w:sz="4" w:space="0"/>
              <w:right w:val="single" w:color="auto" w:sz="4" w:space="0"/>
            </w:tcBorders>
            <w:vAlign w:val="center"/>
          </w:tcPr>
          <w:p>
            <w:pPr>
              <w:spacing w:line="300" w:lineRule="exact"/>
              <w:jc w:val="center"/>
              <w:rPr>
                <w:rFonts w:hint="eastAsia" w:ascii="仿宋_GB2312" w:eastAsia="仿宋_GB2312"/>
                <w:sz w:val="24"/>
                <w:szCs w:val="24"/>
              </w:rPr>
            </w:pPr>
            <w:r>
              <w:rPr>
                <w:rFonts w:hint="eastAsia" w:ascii="仿宋_GB2312" w:eastAsia="仿宋_GB2312"/>
                <w:sz w:val="24"/>
                <w:szCs w:val="24"/>
              </w:rPr>
              <w:t>1980</w:t>
            </w:r>
          </w:p>
        </w:tc>
        <w:tc>
          <w:tcPr>
            <w:tcW w:w="727" w:type="dxa"/>
            <w:tcBorders>
              <w:left w:val="single" w:color="auto" w:sz="4" w:space="0"/>
              <w:right w:val="single" w:color="auto" w:sz="4" w:space="0"/>
            </w:tcBorders>
            <w:vAlign w:val="center"/>
          </w:tcPr>
          <w:p>
            <w:pPr>
              <w:spacing w:line="300" w:lineRule="exact"/>
              <w:jc w:val="center"/>
              <w:rPr>
                <w:rFonts w:hint="eastAsia" w:ascii="仿宋_GB2312" w:eastAsia="仿宋_GB2312"/>
                <w:sz w:val="24"/>
                <w:szCs w:val="24"/>
              </w:rPr>
            </w:pPr>
            <w:r>
              <w:rPr>
                <w:rFonts w:hint="eastAsia" w:ascii="仿宋_GB2312" w:eastAsia="仿宋_GB2312"/>
                <w:sz w:val="24"/>
                <w:szCs w:val="24"/>
              </w:rPr>
              <w:t>1128</w:t>
            </w:r>
          </w:p>
        </w:tc>
        <w:tc>
          <w:tcPr>
            <w:tcW w:w="727" w:type="dxa"/>
            <w:tcBorders>
              <w:left w:val="single" w:color="auto" w:sz="4" w:space="0"/>
              <w:right w:val="single" w:color="auto" w:sz="4" w:space="0"/>
            </w:tcBorders>
            <w:vAlign w:val="center"/>
          </w:tcPr>
          <w:p>
            <w:pPr>
              <w:spacing w:line="300" w:lineRule="exact"/>
              <w:jc w:val="center"/>
              <w:rPr>
                <w:rFonts w:hint="eastAsia" w:ascii="仿宋_GB2312" w:eastAsia="仿宋_GB2312"/>
                <w:sz w:val="24"/>
                <w:szCs w:val="24"/>
              </w:rPr>
            </w:pPr>
            <w:r>
              <w:rPr>
                <w:rFonts w:hint="eastAsia" w:ascii="仿宋_GB2312" w:eastAsia="仿宋_GB2312"/>
                <w:sz w:val="24"/>
                <w:szCs w:val="24"/>
              </w:rPr>
              <w:t>1499</w:t>
            </w:r>
          </w:p>
        </w:tc>
        <w:tc>
          <w:tcPr>
            <w:tcW w:w="823" w:type="dxa"/>
            <w:tcBorders>
              <w:left w:val="single" w:color="auto" w:sz="4" w:space="0"/>
              <w:right w:val="single" w:color="auto" w:sz="4" w:space="0"/>
            </w:tcBorders>
            <w:vAlign w:val="center"/>
          </w:tcPr>
          <w:p>
            <w:pPr>
              <w:spacing w:line="300" w:lineRule="exact"/>
              <w:jc w:val="center"/>
              <w:rPr>
                <w:rFonts w:ascii="仿宋_GB2312" w:eastAsia="仿宋_GB2312"/>
                <w:b/>
                <w:i/>
                <w:sz w:val="24"/>
                <w:szCs w:val="24"/>
              </w:rPr>
            </w:pPr>
            <w:r>
              <w:rPr>
                <w:rFonts w:hint="eastAsia" w:ascii="仿宋_GB2312" w:eastAsia="仿宋_GB2312"/>
                <w:b/>
                <w:i/>
                <w:sz w:val="24"/>
                <w:szCs w:val="24"/>
              </w:rPr>
              <w:t>14084</w:t>
            </w:r>
          </w:p>
        </w:tc>
        <w:tc>
          <w:tcPr>
            <w:tcW w:w="878" w:type="dxa"/>
            <w:tcBorders>
              <w:left w:val="single" w:color="auto" w:sz="4" w:space="0"/>
            </w:tcBorders>
            <w:vAlign w:val="center"/>
          </w:tcPr>
          <w:p>
            <w:pPr>
              <w:spacing w:line="300" w:lineRule="exact"/>
              <w:jc w:val="center"/>
              <w:rPr>
                <w:rFonts w:ascii="仿宋_GB2312" w:eastAsia="仿宋_GB2312"/>
                <w:b/>
                <w:i/>
                <w:sz w:val="24"/>
                <w:szCs w:val="24"/>
              </w:rPr>
            </w:pPr>
            <w:r>
              <w:rPr>
                <w:rFonts w:hint="eastAsia" w:ascii="仿宋_GB2312" w:eastAsia="仿宋_GB2312"/>
                <w:b/>
                <w:i/>
                <w:sz w:val="24"/>
                <w:szCs w:val="24"/>
              </w:rPr>
              <w:t>46502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8" w:hRule="atLeast"/>
        </w:trPr>
        <w:tc>
          <w:tcPr>
            <w:tcW w:w="936"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同期增长百分比</w:t>
            </w:r>
          </w:p>
        </w:tc>
        <w:tc>
          <w:tcPr>
            <w:tcW w:w="727" w:type="dxa"/>
            <w:vAlign w:val="center"/>
          </w:tcPr>
          <w:p>
            <w:pPr>
              <w:spacing w:line="300" w:lineRule="exact"/>
              <w:jc w:val="center"/>
              <w:rPr>
                <w:rFonts w:ascii="仿宋_GB2312" w:eastAsia="仿宋_GB2312"/>
                <w:b/>
                <w:sz w:val="24"/>
                <w:szCs w:val="24"/>
              </w:rPr>
            </w:pPr>
            <w:r>
              <w:rPr>
                <w:rFonts w:hint="eastAsia" w:ascii="仿宋_GB2312" w:eastAsia="仿宋_GB2312"/>
                <w:b/>
                <w:sz w:val="24"/>
                <w:szCs w:val="24"/>
              </w:rPr>
              <w:t>229%</w:t>
            </w:r>
          </w:p>
        </w:tc>
        <w:tc>
          <w:tcPr>
            <w:tcW w:w="727" w:type="dxa"/>
            <w:vAlign w:val="center"/>
          </w:tcPr>
          <w:p>
            <w:pPr>
              <w:spacing w:line="300" w:lineRule="exact"/>
              <w:jc w:val="center"/>
              <w:rPr>
                <w:rFonts w:ascii="仿宋_GB2312" w:eastAsia="仿宋_GB2312"/>
                <w:b/>
                <w:sz w:val="24"/>
                <w:szCs w:val="24"/>
              </w:rPr>
            </w:pPr>
            <w:r>
              <w:rPr>
                <w:rFonts w:hint="eastAsia" w:ascii="仿宋_GB2312" w:eastAsia="仿宋_GB2312"/>
                <w:b/>
                <w:sz w:val="24"/>
                <w:szCs w:val="24"/>
              </w:rPr>
              <w:t>137%</w:t>
            </w:r>
          </w:p>
        </w:tc>
        <w:tc>
          <w:tcPr>
            <w:tcW w:w="727" w:type="dxa"/>
            <w:vAlign w:val="center"/>
          </w:tcPr>
          <w:p>
            <w:pPr>
              <w:spacing w:line="300" w:lineRule="exact"/>
              <w:jc w:val="center"/>
              <w:rPr>
                <w:rFonts w:ascii="仿宋_GB2312" w:eastAsia="仿宋_GB2312"/>
                <w:b/>
                <w:sz w:val="24"/>
                <w:szCs w:val="24"/>
              </w:rPr>
            </w:pPr>
            <w:r>
              <w:rPr>
                <w:rFonts w:hint="eastAsia" w:ascii="仿宋_GB2312" w:eastAsia="仿宋_GB2312"/>
                <w:b/>
                <w:sz w:val="24"/>
                <w:szCs w:val="24"/>
              </w:rPr>
              <w:t>254%</w:t>
            </w:r>
          </w:p>
        </w:tc>
        <w:tc>
          <w:tcPr>
            <w:tcW w:w="727" w:type="dxa"/>
            <w:tcBorders>
              <w:right w:val="single" w:color="auto" w:sz="4" w:space="0"/>
            </w:tcBorders>
            <w:vAlign w:val="center"/>
          </w:tcPr>
          <w:p>
            <w:pPr>
              <w:spacing w:line="300" w:lineRule="exact"/>
              <w:jc w:val="center"/>
              <w:rPr>
                <w:rFonts w:ascii="仿宋_GB2312" w:eastAsia="仿宋_GB2312"/>
                <w:b/>
                <w:sz w:val="24"/>
                <w:szCs w:val="24"/>
              </w:rPr>
            </w:pPr>
            <w:r>
              <w:rPr>
                <w:rFonts w:hint="eastAsia" w:ascii="仿宋_GB2312" w:eastAsia="仿宋_GB2312"/>
                <w:b/>
                <w:sz w:val="24"/>
                <w:szCs w:val="24"/>
              </w:rPr>
              <w:t>220%</w:t>
            </w:r>
          </w:p>
        </w:tc>
        <w:tc>
          <w:tcPr>
            <w:tcW w:w="727" w:type="dxa"/>
            <w:tcBorders>
              <w:left w:val="single" w:color="auto" w:sz="4" w:space="0"/>
              <w:right w:val="single" w:color="auto" w:sz="4" w:space="0"/>
            </w:tcBorders>
            <w:vAlign w:val="center"/>
          </w:tcPr>
          <w:p>
            <w:pPr>
              <w:spacing w:line="300" w:lineRule="exact"/>
              <w:jc w:val="center"/>
              <w:rPr>
                <w:rFonts w:ascii="仿宋_GB2312" w:eastAsia="仿宋_GB2312"/>
                <w:b/>
                <w:sz w:val="24"/>
                <w:szCs w:val="24"/>
              </w:rPr>
            </w:pPr>
            <w:r>
              <w:rPr>
                <w:rFonts w:hint="eastAsia" w:ascii="仿宋_GB2312" w:eastAsia="仿宋_GB2312"/>
                <w:b/>
                <w:sz w:val="24"/>
                <w:szCs w:val="24"/>
              </w:rPr>
              <w:t>264%</w:t>
            </w:r>
          </w:p>
        </w:tc>
        <w:tc>
          <w:tcPr>
            <w:tcW w:w="727" w:type="dxa"/>
            <w:tcBorders>
              <w:left w:val="single" w:color="auto" w:sz="4" w:space="0"/>
              <w:right w:val="single" w:color="auto" w:sz="4" w:space="0"/>
            </w:tcBorders>
            <w:vAlign w:val="center"/>
          </w:tcPr>
          <w:p>
            <w:pPr>
              <w:spacing w:line="300" w:lineRule="exact"/>
              <w:jc w:val="center"/>
              <w:rPr>
                <w:rFonts w:hint="eastAsia" w:ascii="仿宋_GB2312" w:eastAsia="仿宋_GB2312"/>
                <w:b/>
                <w:sz w:val="24"/>
                <w:szCs w:val="24"/>
              </w:rPr>
            </w:pPr>
            <w:r>
              <w:rPr>
                <w:rFonts w:hint="eastAsia" w:ascii="仿宋_GB2312" w:eastAsia="仿宋_GB2312"/>
                <w:b/>
                <w:sz w:val="24"/>
                <w:szCs w:val="24"/>
              </w:rPr>
              <w:t>443%</w:t>
            </w:r>
          </w:p>
        </w:tc>
        <w:tc>
          <w:tcPr>
            <w:tcW w:w="727" w:type="dxa"/>
            <w:tcBorders>
              <w:left w:val="single" w:color="auto" w:sz="4" w:space="0"/>
              <w:right w:val="single" w:color="auto" w:sz="4" w:space="0"/>
            </w:tcBorders>
            <w:vAlign w:val="center"/>
          </w:tcPr>
          <w:p>
            <w:pPr>
              <w:spacing w:line="300" w:lineRule="exact"/>
              <w:jc w:val="center"/>
              <w:rPr>
                <w:rFonts w:hint="eastAsia" w:ascii="仿宋_GB2312" w:eastAsia="仿宋_GB2312"/>
                <w:b/>
                <w:sz w:val="24"/>
                <w:szCs w:val="24"/>
              </w:rPr>
            </w:pPr>
            <w:r>
              <w:rPr>
                <w:rFonts w:hint="eastAsia" w:ascii="仿宋_GB2312" w:eastAsia="仿宋_GB2312"/>
                <w:b/>
                <w:sz w:val="24"/>
                <w:szCs w:val="24"/>
              </w:rPr>
              <w:t>888%</w:t>
            </w:r>
          </w:p>
        </w:tc>
        <w:tc>
          <w:tcPr>
            <w:tcW w:w="727" w:type="dxa"/>
            <w:tcBorders>
              <w:left w:val="single" w:color="auto" w:sz="4" w:space="0"/>
              <w:right w:val="single" w:color="auto" w:sz="4" w:space="0"/>
            </w:tcBorders>
            <w:vAlign w:val="center"/>
          </w:tcPr>
          <w:p>
            <w:pPr>
              <w:spacing w:line="300" w:lineRule="exact"/>
              <w:jc w:val="center"/>
              <w:rPr>
                <w:rFonts w:hint="eastAsia" w:ascii="仿宋_GB2312" w:eastAsia="仿宋_GB2312"/>
                <w:b/>
                <w:sz w:val="24"/>
                <w:szCs w:val="24"/>
              </w:rPr>
            </w:pPr>
            <w:r>
              <w:rPr>
                <w:rFonts w:hint="eastAsia" w:ascii="仿宋_GB2312" w:eastAsia="仿宋_GB2312"/>
                <w:b/>
                <w:sz w:val="24"/>
                <w:szCs w:val="24"/>
              </w:rPr>
              <w:t>292%</w:t>
            </w:r>
          </w:p>
        </w:tc>
        <w:tc>
          <w:tcPr>
            <w:tcW w:w="727" w:type="dxa"/>
            <w:tcBorders>
              <w:left w:val="single" w:color="auto" w:sz="4" w:space="0"/>
              <w:right w:val="single" w:color="auto" w:sz="4" w:space="0"/>
            </w:tcBorders>
            <w:vAlign w:val="center"/>
          </w:tcPr>
          <w:p>
            <w:pPr>
              <w:spacing w:line="300" w:lineRule="exact"/>
              <w:jc w:val="center"/>
              <w:rPr>
                <w:rFonts w:hint="eastAsia" w:ascii="仿宋_GB2312" w:eastAsia="仿宋_GB2312"/>
                <w:b/>
                <w:sz w:val="24"/>
                <w:szCs w:val="24"/>
              </w:rPr>
            </w:pPr>
            <w:r>
              <w:rPr>
                <w:rFonts w:hint="eastAsia" w:ascii="仿宋_GB2312" w:eastAsia="仿宋_GB2312"/>
                <w:b/>
                <w:sz w:val="24"/>
                <w:szCs w:val="24"/>
              </w:rPr>
              <w:t>337%</w:t>
            </w:r>
          </w:p>
        </w:tc>
        <w:tc>
          <w:tcPr>
            <w:tcW w:w="823" w:type="dxa"/>
            <w:tcBorders>
              <w:left w:val="single" w:color="auto" w:sz="4" w:space="0"/>
              <w:right w:val="single" w:color="auto" w:sz="4" w:space="0"/>
            </w:tcBorders>
            <w:vAlign w:val="center"/>
          </w:tcPr>
          <w:p>
            <w:pPr>
              <w:spacing w:line="300" w:lineRule="exact"/>
              <w:jc w:val="center"/>
              <w:rPr>
                <w:rFonts w:ascii="仿宋_GB2312" w:eastAsia="仿宋_GB2312"/>
                <w:b/>
                <w:i/>
                <w:sz w:val="24"/>
                <w:szCs w:val="24"/>
              </w:rPr>
            </w:pPr>
            <w:r>
              <w:rPr>
                <w:rFonts w:hint="eastAsia" w:ascii="仿宋_GB2312" w:eastAsia="仿宋_GB2312"/>
                <w:b/>
                <w:i/>
                <w:sz w:val="24"/>
                <w:szCs w:val="24"/>
              </w:rPr>
              <w:t>289%</w:t>
            </w:r>
          </w:p>
        </w:tc>
        <w:tc>
          <w:tcPr>
            <w:tcW w:w="878" w:type="dxa"/>
            <w:tcBorders>
              <w:left w:val="single" w:color="auto" w:sz="4" w:space="0"/>
            </w:tcBorders>
            <w:vAlign w:val="center"/>
          </w:tcPr>
          <w:p>
            <w:pPr>
              <w:spacing w:line="300" w:lineRule="exact"/>
              <w:jc w:val="center"/>
              <w:rPr>
                <w:rFonts w:ascii="仿宋_GB2312" w:eastAsia="仿宋_GB2312"/>
                <w:b/>
                <w:i/>
                <w:sz w:val="24"/>
                <w:szCs w:val="24"/>
              </w:rPr>
            </w:pPr>
            <w:r>
              <w:rPr>
                <w:rFonts w:hint="eastAsia" w:ascii="仿宋_GB2312" w:eastAsia="仿宋_GB2312"/>
                <w:b/>
                <w:i/>
                <w:sz w:val="24"/>
                <w:szCs w:val="24"/>
              </w:rPr>
              <w:t>249%</w:t>
            </w:r>
          </w:p>
        </w:tc>
      </w:tr>
    </w:tbl>
    <w:p>
      <w:pPr>
        <w:jc w:val="center"/>
        <w:rPr>
          <w:rFonts w:ascii="仿宋_GB2312" w:eastAsia="仿宋_GB2312"/>
          <w:sz w:val="32"/>
          <w:szCs w:val="32"/>
        </w:rPr>
      </w:pPr>
      <w:r>
        <w:rPr>
          <w:rFonts w:ascii="仿宋_GB2312" w:eastAsia="仿宋_GB2312"/>
          <w:sz w:val="32"/>
          <w:szCs w:val="32"/>
        </w:rPr>
        <w:drawing>
          <wp:inline distT="0" distB="0" distL="0" distR="0">
            <wp:extent cx="4572000" cy="2743200"/>
            <wp:effectExtent l="19050" t="0" r="1905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ind w:firstLine="510"/>
        <w:rPr>
          <w:rFonts w:ascii="仿宋_GB2312" w:eastAsia="仿宋_GB2312"/>
          <w:sz w:val="32"/>
          <w:szCs w:val="32"/>
        </w:rPr>
      </w:pPr>
      <w:r>
        <w:rPr>
          <w:rFonts w:hint="eastAsia" w:ascii="仿宋_GB2312" w:eastAsia="仿宋_GB2312"/>
          <w:sz w:val="32"/>
          <w:szCs w:val="32"/>
        </w:rPr>
        <w:t>煤检中心进行的检测工作类型主要有五大方面：</w:t>
      </w:r>
      <w:r>
        <w:rPr>
          <w:rFonts w:ascii="仿宋_GB2312" w:eastAsia="仿宋_GB2312"/>
          <w:sz w:val="32"/>
          <w:szCs w:val="32"/>
        </w:rPr>
        <w:fldChar w:fldCharType="begin"/>
      </w:r>
      <w:r>
        <w:rPr>
          <w:rFonts w:ascii="仿宋_GB2312" w:eastAsia="仿宋_GB2312"/>
          <w:sz w:val="32"/>
          <w:szCs w:val="32"/>
        </w:rPr>
        <w:instrText xml:space="preserve"> </w:instrText>
      </w:r>
      <w:r>
        <w:rPr>
          <w:rFonts w:hint="eastAsia" w:ascii="仿宋_GB2312" w:eastAsia="仿宋_GB2312"/>
          <w:sz w:val="32"/>
          <w:szCs w:val="32"/>
        </w:rPr>
        <w:instrText xml:space="preserve">= 1 \* GB3</w:instrText>
      </w:r>
      <w:r>
        <w:rPr>
          <w:rFonts w:ascii="仿宋_GB2312" w:eastAsia="仿宋_GB2312"/>
          <w:sz w:val="32"/>
          <w:szCs w:val="32"/>
        </w:rPr>
        <w:instrText xml:space="preserve"> </w:instrText>
      </w:r>
      <w:r>
        <w:rPr>
          <w:rFonts w:ascii="仿宋_GB2312" w:eastAsia="仿宋_GB2312"/>
          <w:sz w:val="32"/>
          <w:szCs w:val="32"/>
        </w:rPr>
        <w:fldChar w:fldCharType="separate"/>
      </w:r>
      <w:r>
        <w:rPr>
          <w:rFonts w:hint="eastAsia" w:ascii="仿宋_GB2312" w:eastAsia="仿宋_GB2312"/>
          <w:sz w:val="32"/>
          <w:szCs w:val="32"/>
        </w:rPr>
        <w:t>①</w:t>
      </w:r>
      <w:r>
        <w:rPr>
          <w:rFonts w:ascii="仿宋_GB2312" w:eastAsia="仿宋_GB2312"/>
          <w:sz w:val="32"/>
          <w:szCs w:val="32"/>
        </w:rPr>
        <w:fldChar w:fldCharType="end"/>
      </w:r>
      <w:r>
        <w:rPr>
          <w:rFonts w:hint="eastAsia" w:ascii="仿宋_GB2312" w:eastAsia="仿宋_GB2312"/>
          <w:sz w:val="32"/>
          <w:szCs w:val="32"/>
        </w:rPr>
        <w:t>承担各类监督抽查、专项检查的检验工作，此类检测工作的特点是时间紧、任务重、责任大、影响大。除了国家监督抽查、陕西省各类监督抽查外，近期出现和外省联合进行的监督抽查，此类工作是政治任务，必须按时完成。</w:t>
      </w:r>
      <w:r>
        <w:rPr>
          <w:rFonts w:ascii="仿宋_GB2312" w:eastAsia="仿宋_GB2312"/>
          <w:sz w:val="32"/>
          <w:szCs w:val="32"/>
        </w:rPr>
        <w:fldChar w:fldCharType="begin"/>
      </w:r>
      <w:r>
        <w:rPr>
          <w:rFonts w:ascii="仿宋_GB2312" w:eastAsia="仿宋_GB2312"/>
          <w:sz w:val="32"/>
          <w:szCs w:val="32"/>
        </w:rPr>
        <w:instrText xml:space="preserve"> </w:instrText>
      </w:r>
      <w:r>
        <w:rPr>
          <w:rFonts w:hint="eastAsia" w:ascii="仿宋_GB2312" w:eastAsia="仿宋_GB2312"/>
          <w:sz w:val="32"/>
          <w:szCs w:val="32"/>
        </w:rPr>
        <w:instrText xml:space="preserve">= 2 \* GB3</w:instrText>
      </w:r>
      <w:r>
        <w:rPr>
          <w:rFonts w:ascii="仿宋_GB2312" w:eastAsia="仿宋_GB2312"/>
          <w:sz w:val="32"/>
          <w:szCs w:val="32"/>
        </w:rPr>
        <w:instrText xml:space="preserve"> </w:instrText>
      </w:r>
      <w:r>
        <w:rPr>
          <w:rFonts w:ascii="仿宋_GB2312" w:eastAsia="仿宋_GB2312"/>
          <w:sz w:val="32"/>
          <w:szCs w:val="32"/>
        </w:rPr>
        <w:fldChar w:fldCharType="separate"/>
      </w:r>
      <w:r>
        <w:rPr>
          <w:rFonts w:hint="eastAsia" w:ascii="仿宋_GB2312" w:eastAsia="仿宋_GB2312"/>
          <w:sz w:val="32"/>
          <w:szCs w:val="32"/>
        </w:rPr>
        <w:t>②</w:t>
      </w:r>
      <w:r>
        <w:rPr>
          <w:rFonts w:ascii="仿宋_GB2312" w:eastAsia="仿宋_GB2312"/>
          <w:sz w:val="32"/>
          <w:szCs w:val="32"/>
        </w:rPr>
        <w:fldChar w:fldCharType="end"/>
      </w:r>
      <w:r>
        <w:rPr>
          <w:rFonts w:hint="eastAsia" w:ascii="仿宋_GB2312" w:eastAsia="仿宋_GB2312"/>
          <w:sz w:val="32"/>
          <w:szCs w:val="32"/>
        </w:rPr>
        <w:t>定点定期的检测工作，包括铜川南站的省内统配电煤第三方公正检验工作，每周一、三、五送样，驻电厂的入厂煤委托检测工作，每天送样，都是当天或次日上午出数据；</w:t>
      </w:r>
      <w:r>
        <w:rPr>
          <w:rFonts w:ascii="仿宋_GB2312" w:eastAsia="仿宋_GB2312"/>
          <w:sz w:val="32"/>
          <w:szCs w:val="32"/>
        </w:rPr>
        <w:t xml:space="preserve"> </w:t>
      </w:r>
      <w:r>
        <w:rPr>
          <w:rFonts w:ascii="仿宋_GB2312" w:eastAsia="仿宋_GB2312"/>
          <w:sz w:val="32"/>
          <w:szCs w:val="32"/>
        </w:rPr>
        <w:fldChar w:fldCharType="begin"/>
      </w:r>
      <w:r>
        <w:rPr>
          <w:rFonts w:ascii="仿宋_GB2312" w:eastAsia="仿宋_GB2312"/>
          <w:sz w:val="32"/>
          <w:szCs w:val="32"/>
        </w:rPr>
        <w:instrText xml:space="preserve"> </w:instrText>
      </w:r>
      <w:r>
        <w:rPr>
          <w:rFonts w:hint="eastAsia" w:ascii="仿宋_GB2312" w:eastAsia="仿宋_GB2312"/>
          <w:sz w:val="32"/>
          <w:szCs w:val="32"/>
        </w:rPr>
        <w:instrText xml:space="preserve">= 3 \* GB3</w:instrText>
      </w:r>
      <w:r>
        <w:rPr>
          <w:rFonts w:ascii="仿宋_GB2312" w:eastAsia="仿宋_GB2312"/>
          <w:sz w:val="32"/>
          <w:szCs w:val="32"/>
        </w:rPr>
        <w:instrText xml:space="preserve"> </w:instrText>
      </w:r>
      <w:r>
        <w:rPr>
          <w:rFonts w:ascii="仿宋_GB2312" w:eastAsia="仿宋_GB2312"/>
          <w:sz w:val="32"/>
          <w:szCs w:val="32"/>
        </w:rPr>
        <w:fldChar w:fldCharType="separate"/>
      </w:r>
      <w:r>
        <w:rPr>
          <w:rFonts w:hint="eastAsia" w:ascii="仿宋_GB2312" w:eastAsia="仿宋_GB2312"/>
          <w:sz w:val="32"/>
          <w:szCs w:val="32"/>
        </w:rPr>
        <w:t>③</w:t>
      </w:r>
      <w:r>
        <w:rPr>
          <w:rFonts w:ascii="仿宋_GB2312" w:eastAsia="仿宋_GB2312"/>
          <w:sz w:val="32"/>
          <w:szCs w:val="32"/>
        </w:rPr>
        <w:fldChar w:fldCharType="end"/>
      </w:r>
      <w:r>
        <w:rPr>
          <w:rFonts w:hint="eastAsia" w:ascii="仿宋_GB2312" w:eastAsia="仿宋_GB2312"/>
          <w:sz w:val="32"/>
          <w:szCs w:val="32"/>
        </w:rPr>
        <w:t>煤炭市场及业务部门的委托检测工作，特点是不定时、检测项目杂、检测周期较长。</w:t>
      </w:r>
      <w:r>
        <w:rPr>
          <w:rFonts w:ascii="仿宋_GB2312" w:eastAsia="仿宋_GB2312"/>
          <w:sz w:val="32"/>
          <w:szCs w:val="32"/>
        </w:rPr>
        <w:fldChar w:fldCharType="begin"/>
      </w:r>
      <w:r>
        <w:rPr>
          <w:rFonts w:ascii="仿宋_GB2312" w:eastAsia="仿宋_GB2312"/>
          <w:sz w:val="32"/>
          <w:szCs w:val="32"/>
        </w:rPr>
        <w:instrText xml:space="preserve"> </w:instrText>
      </w:r>
      <w:r>
        <w:rPr>
          <w:rFonts w:hint="eastAsia" w:ascii="仿宋_GB2312" w:eastAsia="仿宋_GB2312"/>
          <w:sz w:val="32"/>
          <w:szCs w:val="32"/>
        </w:rPr>
        <w:instrText xml:space="preserve">= 4 \* GB3</w:instrText>
      </w:r>
      <w:r>
        <w:rPr>
          <w:rFonts w:ascii="仿宋_GB2312" w:eastAsia="仿宋_GB2312"/>
          <w:sz w:val="32"/>
          <w:szCs w:val="32"/>
        </w:rPr>
        <w:instrText xml:space="preserve"> </w:instrText>
      </w:r>
      <w:r>
        <w:rPr>
          <w:rFonts w:ascii="仿宋_GB2312" w:eastAsia="仿宋_GB2312"/>
          <w:sz w:val="32"/>
          <w:szCs w:val="32"/>
        </w:rPr>
        <w:fldChar w:fldCharType="separate"/>
      </w:r>
      <w:r>
        <w:rPr>
          <w:rFonts w:hint="eastAsia" w:ascii="仿宋_GB2312" w:eastAsia="仿宋_GB2312"/>
          <w:sz w:val="32"/>
          <w:szCs w:val="32"/>
        </w:rPr>
        <w:t>④</w:t>
      </w:r>
      <w:r>
        <w:rPr>
          <w:rFonts w:ascii="仿宋_GB2312" w:eastAsia="仿宋_GB2312"/>
          <w:sz w:val="32"/>
          <w:szCs w:val="32"/>
        </w:rPr>
        <w:fldChar w:fldCharType="end"/>
      </w:r>
      <w:r>
        <w:rPr>
          <w:rFonts w:hint="eastAsia" w:ascii="仿宋_GB2312" w:eastAsia="仿宋_GB2312"/>
          <w:sz w:val="32"/>
          <w:szCs w:val="32"/>
        </w:rPr>
        <w:t>机械化采制样设备鉴定检测工作，特点是项目简单但样品量大，数据处理繁琐耗时。所里已对此项工作进行了协调安排，到位后工作效率将大大提高；</w:t>
      </w:r>
      <w:r>
        <w:rPr>
          <w:rFonts w:ascii="仿宋_GB2312" w:eastAsia="仿宋_GB2312"/>
          <w:sz w:val="32"/>
          <w:szCs w:val="32"/>
        </w:rPr>
        <w:fldChar w:fldCharType="begin"/>
      </w:r>
      <w:r>
        <w:rPr>
          <w:rFonts w:ascii="仿宋_GB2312" w:eastAsia="仿宋_GB2312"/>
          <w:sz w:val="32"/>
          <w:szCs w:val="32"/>
        </w:rPr>
        <w:instrText xml:space="preserve"> </w:instrText>
      </w:r>
      <w:r>
        <w:rPr>
          <w:rFonts w:hint="eastAsia" w:ascii="仿宋_GB2312" w:eastAsia="仿宋_GB2312"/>
          <w:sz w:val="32"/>
          <w:szCs w:val="32"/>
        </w:rPr>
        <w:instrText xml:space="preserve">= 5 \* GB3</w:instrText>
      </w:r>
      <w:r>
        <w:rPr>
          <w:rFonts w:ascii="仿宋_GB2312" w:eastAsia="仿宋_GB2312"/>
          <w:sz w:val="32"/>
          <w:szCs w:val="32"/>
        </w:rPr>
        <w:instrText xml:space="preserve"> </w:instrText>
      </w:r>
      <w:r>
        <w:rPr>
          <w:rFonts w:ascii="仿宋_GB2312" w:eastAsia="仿宋_GB2312"/>
          <w:sz w:val="32"/>
          <w:szCs w:val="32"/>
        </w:rPr>
        <w:fldChar w:fldCharType="separate"/>
      </w:r>
      <w:r>
        <w:rPr>
          <w:rFonts w:hint="eastAsia" w:ascii="仿宋_GB2312" w:eastAsia="仿宋_GB2312"/>
          <w:sz w:val="32"/>
          <w:szCs w:val="32"/>
        </w:rPr>
        <w:t>⑤</w:t>
      </w:r>
      <w:r>
        <w:rPr>
          <w:rFonts w:ascii="仿宋_GB2312" w:eastAsia="仿宋_GB2312"/>
          <w:sz w:val="32"/>
          <w:szCs w:val="32"/>
        </w:rPr>
        <w:fldChar w:fldCharType="end"/>
      </w:r>
      <w:r>
        <w:rPr>
          <w:rFonts w:hint="eastAsia" w:ascii="仿宋_GB2312" w:eastAsia="仿宋_GB2312"/>
          <w:sz w:val="32"/>
          <w:szCs w:val="32"/>
        </w:rPr>
        <w:t>其它类型的检测工作，如方法验证、能力验证与比对、标样定值、科研项目检测工作、各站的委托检测和比对工作等，尤其是榆林中心的以比对名义进行的委托检测，项目复杂。</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接手煤检中心之初，我们面对500个积压样品，集中人力，加班、通宵，一周之内全部清零。那段时间对我们每个人来说都是噩梦，要赶之前积压的样品、要完成每天持续送来的样品、要清理场地、要搬迁设备、要维护秩序、要修修补补。恢复正常秩序后，我对煤检中心全体人员的要求是：我们的职责就是完成煤炭样品检测，及时准确出具数据和报告，市场部门对客户的承诺是代表中心/所作出的，不是他们一个部门或某个人的事情，全所共同的目标是服务客户。有问题及时沟通协调，不允许出现大量样品积压。大家都很清楚这一点，一直运行不定时工作制度，根据样品量及时限要求，及时调整项目及人员，根据情况三班两倒、两班倒、全员上班、随时加班，今年除了机械化鉴定样品集中送样时需要时间消耗外，其它样品未出现积压、拖延现象，能够满足检测方法和客户需求。</w:t>
      </w:r>
    </w:p>
    <w:p>
      <w:pPr>
        <w:ind w:firstLine="608" w:firstLineChars="190"/>
        <w:rPr>
          <w:rFonts w:hint="eastAsia" w:ascii="仿宋_GB2312" w:eastAsia="仿宋_GB2312"/>
          <w:sz w:val="32"/>
          <w:szCs w:val="32"/>
        </w:rPr>
      </w:pPr>
      <w:r>
        <w:rPr>
          <w:rFonts w:hint="eastAsia" w:ascii="仿宋_GB2312" w:eastAsia="仿宋_GB2312"/>
          <w:sz w:val="32"/>
          <w:szCs w:val="32"/>
        </w:rPr>
        <w:t>在检验协调方面，今年特殊检验项目多，而且来样不均，随来随检不成批造成很大的人力物力浪费。尤其是化学分析项目，如煤灰成分分析，一个样品的检验周期为5天，一批样品的检验周期同样也是5天，所以类似的检验项目批量来做最为理想。通过请示所领导、和业务部门沟通，化学类检验项目按批合理下达样品检验完成时间，我们合理安排人员调配项目，资源优化组合达到效益最大化。</w:t>
      </w:r>
    </w:p>
    <w:p>
      <w:pPr>
        <w:pStyle w:val="12"/>
        <w:numPr>
          <w:ilvl w:val="0"/>
          <w:numId w:val="1"/>
        </w:numPr>
        <w:ind w:firstLineChars="0"/>
        <w:rPr>
          <w:rFonts w:ascii="仿宋_GB2312" w:eastAsia="仿宋_GB2312"/>
          <w:b/>
          <w:sz w:val="32"/>
          <w:szCs w:val="32"/>
        </w:rPr>
      </w:pPr>
      <w:r>
        <w:rPr>
          <w:rFonts w:hint="eastAsia" w:ascii="仿宋_GB2312" w:eastAsia="仿宋_GB2312"/>
          <w:b/>
          <w:sz w:val="32"/>
          <w:szCs w:val="32"/>
          <w:lang w:eastAsia="zh-CN"/>
        </w:rPr>
        <w:t>培训中心工作情况</w:t>
      </w:r>
    </w:p>
    <w:p>
      <w:pPr>
        <w:ind w:firstLine="608" w:firstLineChars="190"/>
        <w:rPr>
          <w:rFonts w:hint="eastAsia" w:ascii="仿宋_GB2312" w:eastAsia="仿宋_GB2312"/>
          <w:sz w:val="32"/>
          <w:szCs w:val="32"/>
        </w:rPr>
      </w:pPr>
      <w:r>
        <w:rPr>
          <w:rFonts w:hint="eastAsia" w:ascii="仿宋_GB2312" w:eastAsia="仿宋_GB2312"/>
          <w:sz w:val="32"/>
          <w:szCs w:val="32"/>
          <w:lang w:eastAsia="zh-CN"/>
        </w:rPr>
        <w:t>调至培训中心一个月以来，</w:t>
      </w:r>
      <w:r>
        <w:rPr>
          <w:rFonts w:hint="eastAsia" w:ascii="仿宋_GB2312" w:eastAsia="仿宋_GB2312"/>
          <w:sz w:val="32"/>
          <w:szCs w:val="32"/>
        </w:rPr>
        <w:t>与徐州泰瑞仪器组织召开“煤炭小氧弹量热测定技术研讨会”</w:t>
      </w:r>
      <w:r>
        <w:rPr>
          <w:rFonts w:hint="eastAsia" w:ascii="仿宋_GB2312" w:eastAsia="仿宋_GB2312"/>
          <w:sz w:val="32"/>
          <w:szCs w:val="32"/>
          <w:lang w:eastAsia="zh-CN"/>
        </w:rPr>
        <w:t>，实施外出培训</w:t>
      </w:r>
      <w:r>
        <w:rPr>
          <w:rFonts w:hint="eastAsia" w:ascii="仿宋_GB2312" w:eastAsia="仿宋_GB2312"/>
          <w:sz w:val="32"/>
          <w:szCs w:val="32"/>
          <w:lang w:val="en-US" w:eastAsia="zh-CN"/>
        </w:rPr>
        <w:t>3次，来所培训1次，对神木兰炭产业办实验室计量认证咨询工作制定推进计划，指导进行内审管理评审，力争在2017年7月前完成此项工作</w:t>
      </w:r>
      <w:r>
        <w:rPr>
          <w:rFonts w:hint="eastAsia" w:ascii="仿宋_GB2312" w:eastAsia="仿宋_GB2312"/>
          <w:sz w:val="32"/>
          <w:szCs w:val="32"/>
        </w:rPr>
        <w:t>。</w:t>
      </w:r>
    </w:p>
    <w:p>
      <w:pPr>
        <w:pStyle w:val="12"/>
        <w:numPr>
          <w:ilvl w:val="0"/>
          <w:numId w:val="1"/>
        </w:numPr>
        <w:ind w:firstLineChars="0"/>
        <w:rPr>
          <w:rFonts w:ascii="仿宋_GB2312" w:eastAsia="仿宋_GB2312"/>
          <w:b/>
          <w:sz w:val="32"/>
          <w:szCs w:val="32"/>
        </w:rPr>
      </w:pPr>
      <w:r>
        <w:rPr>
          <w:rFonts w:hint="eastAsia" w:ascii="仿宋_GB2312" w:eastAsia="仿宋_GB2312"/>
          <w:b/>
          <w:sz w:val="32"/>
          <w:szCs w:val="32"/>
          <w:lang w:eastAsia="zh-CN"/>
        </w:rPr>
        <w:t>培训工作面临困难</w:t>
      </w:r>
    </w:p>
    <w:p>
      <w:pPr>
        <w:ind w:firstLine="608" w:firstLineChars="190"/>
        <w:rPr>
          <w:rFonts w:hint="eastAsia" w:ascii="仿宋_GB2312" w:eastAsia="仿宋_GB2312"/>
          <w:sz w:val="32"/>
          <w:szCs w:val="32"/>
        </w:rPr>
      </w:pPr>
      <w:r>
        <w:rPr>
          <w:rFonts w:hint="eastAsia" w:ascii="仿宋_GB2312" w:eastAsia="仿宋_GB2312"/>
          <w:sz w:val="32"/>
          <w:szCs w:val="32"/>
        </w:rPr>
        <w:t>2016年煤炭行情低迷，全国范围内很多煤矿停产关闭，煤矿化验室培训需求锐减，一些大型煤企明确表示工资都发不出来不培训；五大电力集团中大唐、华电、国电、华能旗下都有电科院或培训基地，电厂采制化人员的培训工作都由集团指定在内部电科院或培训基地进行，我们想进入很困难；除了老牌的三个国家煤炭产品质检中心，近年来，国家批准建立了十几家国家级煤炭产品质检中心，都在进行培训工作，行业竞争激烈。鉴于以上几个方面的影响，今年培训中心收入略有下降。</w:t>
      </w:r>
    </w:p>
    <w:p>
      <w:pPr>
        <w:pStyle w:val="12"/>
        <w:numPr>
          <w:ilvl w:val="0"/>
          <w:numId w:val="1"/>
        </w:numPr>
        <w:ind w:firstLineChars="0"/>
        <w:rPr>
          <w:rFonts w:ascii="仿宋_GB2312" w:eastAsia="仿宋_GB2312"/>
          <w:b/>
          <w:sz w:val="32"/>
          <w:szCs w:val="32"/>
        </w:rPr>
      </w:pPr>
      <w:r>
        <w:rPr>
          <w:rFonts w:hint="eastAsia" w:ascii="仿宋_GB2312" w:eastAsia="仿宋_GB2312"/>
          <w:b/>
          <w:sz w:val="32"/>
          <w:szCs w:val="32"/>
          <w:lang w:eastAsia="zh-CN"/>
        </w:rPr>
        <w:t>培训工作发展方向</w:t>
      </w:r>
    </w:p>
    <w:p>
      <w:pPr>
        <w:ind w:firstLine="608" w:firstLineChars="190"/>
        <w:rPr>
          <w:rFonts w:hint="eastAsia" w:ascii="仿宋_GB2312" w:eastAsia="仿宋_GB2312"/>
          <w:sz w:val="32"/>
          <w:szCs w:val="32"/>
        </w:rPr>
      </w:pPr>
      <w:r>
        <w:rPr>
          <w:rFonts w:hint="eastAsia" w:ascii="仿宋_GB2312" w:eastAsia="仿宋_GB2312"/>
          <w:sz w:val="32"/>
          <w:szCs w:val="32"/>
        </w:rPr>
        <w:t>明年仍是任重道远的一年，要使培训工作走出困境，我们需要扩大宣传、提升实力、开放格局，期望取得良好业绩。</w:t>
      </w:r>
    </w:p>
    <w:p>
      <w:pPr>
        <w:ind w:firstLine="608" w:firstLineChars="190"/>
        <w:rPr>
          <w:rFonts w:hint="eastAsia" w:ascii="仿宋_GB2312" w:eastAsia="仿宋_GB2312"/>
          <w:sz w:val="32"/>
          <w:szCs w:val="32"/>
        </w:rPr>
      </w:pPr>
      <w:r>
        <w:rPr>
          <w:rFonts w:hint="eastAsia" w:ascii="仿宋_GB2312" w:eastAsia="仿宋_GB2312"/>
          <w:sz w:val="32"/>
          <w:szCs w:val="32"/>
        </w:rPr>
        <w:t>一是宣传，提高我们的认知度和影响力。2016年11月25日我中心与徐州泰瑞仪器组织召开“煤炭小氧弹量热测定技术研讨会”，参会代表来自全国各地的煤炭生产、运销、火力发电企业、知名煤炭检验检测机构，是很好的宣传机会。我们紧急印制了培训中心宣传页和《培训及技术咨询服务需求调查表》，连同中心/所宣传页、机械化鉴定业务宣传页、秦华公司宣传页一同放入资料袋，对我中心/所业务进行宣传并进一步了解客户培训需求，挖掘潜在客户。</w:t>
      </w:r>
    </w:p>
    <w:p>
      <w:pPr>
        <w:ind w:firstLine="608" w:firstLineChars="190"/>
        <w:rPr>
          <w:rFonts w:hint="eastAsia" w:ascii="仿宋_GB2312" w:eastAsia="仿宋_GB2312"/>
          <w:sz w:val="32"/>
          <w:szCs w:val="32"/>
        </w:rPr>
      </w:pPr>
      <w:r>
        <w:rPr>
          <w:rFonts w:hint="eastAsia" w:ascii="仿宋_GB2312" w:eastAsia="仿宋_GB2312"/>
          <w:sz w:val="32"/>
          <w:szCs w:val="32"/>
        </w:rPr>
        <w:t>二是实力，在激烈的行业竞争中，低价并不是唯一优势，尤其是对于技术服务行业来说。作为有着几十年检验检测经验的国家级质检中心，我们在煤炭检测关键点把握、检测过程控制、检测故障处理及异常数据分析等方面有丰富经验。要通过日常的培训工作，授课老师的专业形象塑造，行业内口耳相传，树立良好口碑，打造优质品牌。</w:t>
      </w:r>
    </w:p>
    <w:p>
      <w:pPr>
        <w:ind w:firstLine="608" w:firstLineChars="190"/>
        <w:rPr>
          <w:rFonts w:hint="eastAsia" w:ascii="仿宋_GB2312" w:eastAsia="仿宋_GB2312"/>
          <w:sz w:val="32"/>
          <w:szCs w:val="32"/>
        </w:rPr>
      </w:pPr>
      <w:r>
        <w:rPr>
          <w:rFonts w:hint="eastAsia" w:ascii="仿宋_GB2312" w:eastAsia="仿宋_GB2312"/>
          <w:sz w:val="32"/>
          <w:szCs w:val="32"/>
        </w:rPr>
        <w:t>三是合作，在当前的形势下，保守、排外、固步自封都是不可能有大发展的。我们会与所内其他部门、行业内其他单位、煤炭采制化设备生产企业、甚至可以跨行业与认证认可咨询机构合作，开展煤炭及其产品采制化人员资格培训、煤质分析专业职业技能鉴定培训；煤质管理与技术人员培训；组织燃料采制化技能竞赛、技术比武；煤炭机械化采制样技术研讨会；ISO/IEC17025、ISO/IEC17020、CMA资质认定、内审管理评审技术和技巧、实验室体系建立及运行管理等、实验室质量控制、实验室检测风险识别与控制、重大检测事件深度分析等；实验室CNAS、CMA内审员培训，实验室管理体系认证认可咨询业务。</w:t>
      </w:r>
    </w:p>
    <w:p>
      <w:pPr>
        <w:pStyle w:val="12"/>
        <w:numPr>
          <w:ilvl w:val="0"/>
          <w:numId w:val="1"/>
        </w:numPr>
        <w:ind w:firstLineChars="0"/>
        <w:rPr>
          <w:rFonts w:hint="eastAsia" w:ascii="仿宋_GB2312" w:eastAsia="仿宋_GB2312"/>
          <w:b/>
          <w:sz w:val="32"/>
          <w:szCs w:val="32"/>
          <w:lang w:eastAsia="zh-CN"/>
        </w:rPr>
      </w:pPr>
      <w:r>
        <w:rPr>
          <w:rFonts w:hint="eastAsia" w:ascii="仿宋_GB2312" w:eastAsia="仿宋_GB2312"/>
          <w:b/>
          <w:sz w:val="32"/>
          <w:szCs w:val="32"/>
          <w:lang w:eastAsia="zh-CN"/>
        </w:rPr>
        <w:t>党建和“两学一做”</w:t>
      </w:r>
      <w:bookmarkStart w:id="0" w:name="_GoBack"/>
      <w:r>
        <w:rPr>
          <w:rFonts w:hint="eastAsia" w:ascii="仿宋_GB2312" w:eastAsia="仿宋_GB2312"/>
          <w:b/>
          <w:sz w:val="32"/>
          <w:szCs w:val="32"/>
          <w:lang w:eastAsia="zh-CN"/>
        </w:rPr>
        <w:t>工作</w:t>
      </w:r>
      <w:bookmarkEnd w:id="0"/>
    </w:p>
    <w:p>
      <w:pPr>
        <w:ind w:firstLine="608" w:firstLineChars="190"/>
        <w:rPr>
          <w:rFonts w:hint="eastAsia" w:ascii="仿宋_GB2312" w:eastAsia="仿宋_GB2312"/>
          <w:sz w:val="32"/>
          <w:szCs w:val="32"/>
        </w:rPr>
      </w:pPr>
      <w:r>
        <w:rPr>
          <w:rFonts w:hint="eastAsia" w:ascii="仿宋_GB2312" w:eastAsia="仿宋_GB2312"/>
          <w:sz w:val="32"/>
          <w:szCs w:val="32"/>
        </w:rPr>
        <w:t>作为</w:t>
      </w:r>
      <w:r>
        <w:rPr>
          <w:rFonts w:hint="eastAsia" w:ascii="仿宋_GB2312" w:eastAsia="仿宋_GB2312"/>
          <w:sz w:val="32"/>
          <w:szCs w:val="32"/>
          <w:lang w:eastAsia="zh-CN"/>
        </w:rPr>
        <w:t>检测</w:t>
      </w:r>
      <w:r>
        <w:rPr>
          <w:rFonts w:hint="eastAsia" w:ascii="仿宋_GB2312" w:eastAsia="仿宋_GB2312"/>
          <w:sz w:val="32"/>
          <w:szCs w:val="32"/>
        </w:rPr>
        <w:t>科室党支部书记，一年来积极完成党办安排的各项任务，将所党委的各种精神及时传达到支部各成员。</w:t>
      </w:r>
      <w:r>
        <w:rPr>
          <w:rFonts w:hint="eastAsia" w:ascii="仿宋_GB2312" w:eastAsia="仿宋_GB2312"/>
          <w:sz w:val="32"/>
          <w:szCs w:val="32"/>
          <w:lang w:eastAsia="zh-CN"/>
        </w:rPr>
        <w:t>积极响应党组织号召，</w:t>
      </w:r>
      <w:r>
        <w:rPr>
          <w:rFonts w:hint="eastAsia" w:ascii="仿宋_GB2312" w:eastAsia="仿宋_GB2312"/>
          <w:sz w:val="32"/>
          <w:szCs w:val="32"/>
        </w:rPr>
        <w:t>按照所党办要求，认真组织支部学习活动，及时将学习情况汇报所党办。</w:t>
      </w:r>
      <w:r>
        <w:rPr>
          <w:rFonts w:hint="eastAsia" w:ascii="仿宋_GB2312" w:eastAsia="仿宋_GB2312"/>
          <w:sz w:val="32"/>
          <w:szCs w:val="32"/>
          <w:lang w:eastAsia="zh-CN"/>
        </w:rPr>
        <w:t>积极参加省局和所党委的征文活动</w:t>
      </w:r>
      <w:r>
        <w:rPr>
          <w:rFonts w:hint="eastAsia" w:ascii="仿宋_GB2312" w:eastAsia="仿宋_GB2312"/>
          <w:sz w:val="32"/>
          <w:szCs w:val="32"/>
        </w:rPr>
        <w:t>。及时完成今年的党费补交工作。</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我所成立三十余年来，历经几代人的努力，逐步发展壮大，从最初十来个人的煤检站发展成为今日几百人多个机构的国家级质检中心。“创业难守业更难”，我们要通过检验检测工作、技术服务、技术交流活动以及各种宣传手段，致力于打造开放</w:t>
      </w:r>
      <w:r>
        <w:rPr>
          <w:rFonts w:hint="eastAsia" w:ascii="仿宋_GB2312" w:eastAsia="仿宋_GB2312"/>
          <w:sz w:val="32"/>
          <w:szCs w:val="32"/>
          <w:lang w:eastAsia="zh-CN"/>
        </w:rPr>
        <w:t>、</w:t>
      </w:r>
      <w:r>
        <w:rPr>
          <w:rFonts w:hint="eastAsia" w:ascii="仿宋_GB2312" w:eastAsia="仿宋_GB2312"/>
          <w:sz w:val="32"/>
          <w:szCs w:val="32"/>
        </w:rPr>
        <w:t>专业的</w:t>
      </w:r>
      <w:r>
        <w:rPr>
          <w:rFonts w:hint="eastAsia" w:ascii="仿宋_GB2312" w:eastAsia="仿宋_GB2312"/>
          <w:sz w:val="32"/>
          <w:szCs w:val="32"/>
          <w:lang w:eastAsia="zh-CN"/>
        </w:rPr>
        <w:t>能源所，做好培训及技术服务工作</w:t>
      </w:r>
      <w:r>
        <w:rPr>
          <w:rFonts w:hint="eastAsia" w:ascii="仿宋_GB2312" w:eastAsia="仿宋_GB2312"/>
          <w:sz w:val="32"/>
          <w:szCs w:val="32"/>
        </w:rPr>
        <w:t>，树立权威检测机构良好形象。</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937204"/>
    </w:sdtPr>
    <w:sdtContent>
      <w:p>
        <w:pPr>
          <w:pStyle w:val="5"/>
          <w:jc w:val="center"/>
        </w:pPr>
        <w:r>
          <w:fldChar w:fldCharType="begin"/>
        </w:r>
        <w:r>
          <w:instrText xml:space="preserve"> PAGE   \* MERGEFORMAT </w:instrText>
        </w:r>
        <w:r>
          <w:fldChar w:fldCharType="separate"/>
        </w:r>
        <w:r>
          <w:rPr>
            <w:lang w:val="zh-CN"/>
          </w:rPr>
          <w:t>3</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263D3F"/>
    <w:multiLevelType w:val="multilevel"/>
    <w:tmpl w:val="61263D3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F4A6B"/>
    <w:rsid w:val="00040579"/>
    <w:rsid w:val="00232ADB"/>
    <w:rsid w:val="004123BD"/>
    <w:rsid w:val="00484AC2"/>
    <w:rsid w:val="0052023C"/>
    <w:rsid w:val="00587113"/>
    <w:rsid w:val="005B4172"/>
    <w:rsid w:val="006526FE"/>
    <w:rsid w:val="006802B3"/>
    <w:rsid w:val="00793B4F"/>
    <w:rsid w:val="007A65DD"/>
    <w:rsid w:val="00962DC1"/>
    <w:rsid w:val="00A52AF3"/>
    <w:rsid w:val="00AC1E01"/>
    <w:rsid w:val="00B9222A"/>
    <w:rsid w:val="00BF4A6B"/>
    <w:rsid w:val="00CA3B59"/>
    <w:rsid w:val="00E048A7"/>
    <w:rsid w:val="00E667E4"/>
    <w:rsid w:val="00E67D47"/>
    <w:rsid w:val="00EB2150"/>
    <w:rsid w:val="00ED3A24"/>
    <w:rsid w:val="00F120A6"/>
    <w:rsid w:val="68927610"/>
    <w:rsid w:val="68D37647"/>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5"/>
    <w:basedOn w:val="1"/>
    <w:next w:val="1"/>
    <w:link w:val="11"/>
    <w:qFormat/>
    <w:uiPriority w:val="0"/>
    <w:pPr>
      <w:keepNext/>
      <w:keepLines/>
      <w:spacing w:before="280" w:after="290" w:line="376" w:lineRule="auto"/>
      <w:outlineLvl w:val="4"/>
    </w:pPr>
    <w:rPr>
      <w:b/>
      <w:bCs/>
      <w:sz w:val="28"/>
      <w:szCs w:val="28"/>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4">
    <w:name w:val="Balloon Text"/>
    <w:basedOn w:val="1"/>
    <w:link w:val="14"/>
    <w:unhideWhenUsed/>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character" w:styleId="7">
    <w:name w:val="Emphasis"/>
    <w:basedOn w:val="6"/>
    <w:qFormat/>
    <w:uiPriority w:val="20"/>
    <w:rPr>
      <w:i/>
      <w:iCs/>
    </w:rPr>
  </w:style>
  <w:style w:type="table" w:styleId="9">
    <w:name w:val="Table Grid"/>
    <w:basedOn w:val="8"/>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0">
    <w:name w:val="标题 1 Char"/>
    <w:basedOn w:val="6"/>
    <w:link w:val="2"/>
    <w:qFormat/>
    <w:uiPriority w:val="0"/>
    <w:rPr>
      <w:rFonts w:ascii="宋体" w:hAnsi="宋体" w:cs="宋体"/>
      <w:b/>
      <w:bCs/>
      <w:kern w:val="36"/>
      <w:sz w:val="48"/>
      <w:szCs w:val="48"/>
    </w:rPr>
  </w:style>
  <w:style w:type="character" w:customStyle="1" w:styleId="11">
    <w:name w:val="标题 5 Char"/>
    <w:basedOn w:val="6"/>
    <w:link w:val="3"/>
    <w:qFormat/>
    <w:uiPriority w:val="0"/>
    <w:rPr>
      <w:b/>
      <w:bCs/>
      <w:kern w:val="2"/>
      <w:sz w:val="28"/>
      <w:szCs w:val="28"/>
    </w:rPr>
  </w:style>
  <w:style w:type="paragraph" w:customStyle="1" w:styleId="12">
    <w:name w:val="List Paragraph"/>
    <w:basedOn w:val="1"/>
    <w:qFormat/>
    <w:uiPriority w:val="34"/>
    <w:pPr>
      <w:widowControl/>
      <w:ind w:firstLine="420" w:firstLineChars="200"/>
      <w:jc w:val="left"/>
    </w:pPr>
    <w:rPr>
      <w:rFonts w:ascii="宋体" w:hAnsi="宋体" w:cs="宋体"/>
      <w:kern w:val="0"/>
      <w:sz w:val="24"/>
    </w:rPr>
  </w:style>
  <w:style w:type="character" w:customStyle="1" w:styleId="13">
    <w:name w:val="页脚 Char"/>
    <w:basedOn w:val="6"/>
    <w:link w:val="5"/>
    <w:qFormat/>
    <w:uiPriority w:val="99"/>
    <w:rPr>
      <w:rFonts w:asciiTheme="minorHAnsi" w:hAnsiTheme="minorHAnsi" w:eastAsiaTheme="minorEastAsia" w:cstheme="minorBidi"/>
      <w:kern w:val="2"/>
      <w:sz w:val="18"/>
      <w:szCs w:val="18"/>
    </w:rPr>
  </w:style>
  <w:style w:type="character" w:customStyle="1" w:styleId="14">
    <w:name w:val="批注框文本 Char"/>
    <w:basedOn w:val="6"/>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2015</c:f>
              <c:strCache>
                <c:ptCount val="1"/>
                <c:pt idx="0">
                  <c:v>2015</c:v>
                </c:pt>
              </c:strCache>
            </c:strRef>
          </c:tx>
          <c:invertIfNegative val="0"/>
          <c:dLbls>
            <c:delete val="1"/>
          </c:dLbls>
          <c:cat>
            <c:strRef>
              <c:f>Sheet1!$B$1:$J$1</c:f>
              <c:strCache>
                <c:ptCount val="9"/>
                <c:pt idx="0">
                  <c:v>1月</c:v>
                </c:pt>
                <c:pt idx="1">
                  <c:v>2月</c:v>
                </c:pt>
                <c:pt idx="2">
                  <c:v>3月</c:v>
                </c:pt>
                <c:pt idx="3">
                  <c:v>4月</c:v>
                </c:pt>
                <c:pt idx="4">
                  <c:v>5月</c:v>
                </c:pt>
                <c:pt idx="5">
                  <c:v>6月</c:v>
                </c:pt>
                <c:pt idx="6">
                  <c:v>7月</c:v>
                </c:pt>
                <c:pt idx="7">
                  <c:v>8月</c:v>
                </c:pt>
                <c:pt idx="8">
                  <c:v>9月</c:v>
                </c:pt>
              </c:strCache>
            </c:strRef>
          </c:cat>
          <c:val>
            <c:numRef>
              <c:f>Sheet1!$B$2:$J$2</c:f>
              <c:numCache>
                <c:formatCode>General</c:formatCode>
                <c:ptCount val="9"/>
                <c:pt idx="0">
                  <c:v>599</c:v>
                </c:pt>
                <c:pt idx="1">
                  <c:v>887</c:v>
                </c:pt>
                <c:pt idx="2">
                  <c:v>222</c:v>
                </c:pt>
                <c:pt idx="3">
                  <c:v>722</c:v>
                </c:pt>
                <c:pt idx="4">
                  <c:v>775</c:v>
                </c:pt>
                <c:pt idx="5">
                  <c:v>608</c:v>
                </c:pt>
                <c:pt idx="6">
                  <c:v>223</c:v>
                </c:pt>
                <c:pt idx="7">
                  <c:v>386</c:v>
                </c:pt>
                <c:pt idx="8">
                  <c:v>445</c:v>
                </c:pt>
              </c:numCache>
            </c:numRef>
          </c:val>
        </c:ser>
        <c:ser>
          <c:idx val="1"/>
          <c:order val="1"/>
          <c:tx>
            <c:strRef>
              <c:f>2016</c:f>
              <c:strCache>
                <c:ptCount val="1"/>
                <c:pt idx="0">
                  <c:v>2016</c:v>
                </c:pt>
              </c:strCache>
            </c:strRef>
          </c:tx>
          <c:invertIfNegative val="0"/>
          <c:dLbls>
            <c:delete val="1"/>
          </c:dLbls>
          <c:cat>
            <c:strRef>
              <c:f>Sheet1!$B$1:$J$1</c:f>
              <c:strCache>
                <c:ptCount val="9"/>
                <c:pt idx="0">
                  <c:v>1月</c:v>
                </c:pt>
                <c:pt idx="1">
                  <c:v>2月</c:v>
                </c:pt>
                <c:pt idx="2">
                  <c:v>3月</c:v>
                </c:pt>
                <c:pt idx="3">
                  <c:v>4月</c:v>
                </c:pt>
                <c:pt idx="4">
                  <c:v>5月</c:v>
                </c:pt>
                <c:pt idx="5">
                  <c:v>6月</c:v>
                </c:pt>
                <c:pt idx="6">
                  <c:v>7月</c:v>
                </c:pt>
                <c:pt idx="7">
                  <c:v>8月</c:v>
                </c:pt>
                <c:pt idx="8">
                  <c:v>9月</c:v>
                </c:pt>
              </c:strCache>
            </c:strRef>
          </c:cat>
          <c:val>
            <c:numRef>
              <c:f>Sheet1!$B$3:$J$3</c:f>
              <c:numCache>
                <c:formatCode>General</c:formatCode>
                <c:ptCount val="9"/>
                <c:pt idx="0">
                  <c:v>1369</c:v>
                </c:pt>
                <c:pt idx="1">
                  <c:v>1213</c:v>
                </c:pt>
                <c:pt idx="2">
                  <c:v>564</c:v>
                </c:pt>
                <c:pt idx="3">
                  <c:v>1590</c:v>
                </c:pt>
                <c:pt idx="4">
                  <c:v>2047</c:v>
                </c:pt>
                <c:pt idx="5">
                  <c:v>2694</c:v>
                </c:pt>
                <c:pt idx="6">
                  <c:v>1980</c:v>
                </c:pt>
                <c:pt idx="7">
                  <c:v>1128</c:v>
                </c:pt>
                <c:pt idx="8">
                  <c:v>1499</c:v>
                </c:pt>
              </c:numCache>
            </c:numRef>
          </c:val>
        </c:ser>
        <c:dLbls>
          <c:showLegendKey val="0"/>
          <c:showVal val="0"/>
          <c:showCatName val="0"/>
          <c:showSerName val="0"/>
          <c:showPercent val="0"/>
          <c:showBubbleSize val="0"/>
        </c:dLbls>
        <c:gapWidth val="150"/>
        <c:axId val="116865280"/>
        <c:axId val="145239040"/>
      </c:barChart>
      <c:catAx>
        <c:axId val="11686528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5239040"/>
        <c:crosses val="autoZero"/>
        <c:auto val="1"/>
        <c:lblAlgn val="ctr"/>
        <c:lblOffset val="100"/>
        <c:noMultiLvlLbl val="0"/>
      </c:catAx>
      <c:valAx>
        <c:axId val="14523904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6865280"/>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407</Words>
  <Characters>2323</Characters>
  <Lines>19</Lines>
  <Paragraphs>5</Paragraphs>
  <TotalTime>0</TotalTime>
  <ScaleCrop>false</ScaleCrop>
  <LinksUpToDate>false</LinksUpToDate>
  <CharactersWithSpaces>2725</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2016-10-12T01:35:00Z</dcterms:created>
  <dc:creator>微软用户</dc:creator>
  <cp:lastModifiedBy>admin</cp:lastModifiedBy>
  <dcterms:modified xsi:type="dcterms:W3CDTF">2016-12-20T03:45:09Z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